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256" w:lineRule="auto"/>
        <w:rPr>
          <w:color w:val="000000"/>
        </w:rPr>
      </w:pPr>
      <w:r>
        <w:rPr>
          <w:b/>
        </w:rPr>
        <w:t xml:space="preserve">                                                                                                          </w:t>
      </w:r>
      <w:r>
        <w:rPr>
          <w:b/>
          <w:sz w:val="26"/>
          <w:szCs w:val="26"/>
        </w:rPr>
        <w:t xml:space="preserve">«УТВЕРЖДАЮ»</w:t>
      </w:r>
      <w:r>
        <w:rPr>
          <w:color w:val="000000"/>
        </w:rPr>
      </w:r>
      <w:r>
        <w:rPr>
          <w:color w:val="000000"/>
        </w:rPr>
      </w:r>
    </w:p>
    <w:p>
      <w:pPr>
        <w:pStyle w:val="98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Первый заместитель директора -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86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инженер филиала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right="-1"/>
        <w:jc w:val="right"/>
        <w:spacing w:line="276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ПАО «Россети Центр и Приволжье»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ind w:right="-1"/>
        <w:jc w:val="right"/>
        <w:spacing w:line="276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</w:r>
      <w:r/>
      <w:r>
        <w:rPr>
          <w:color w:val="000000" w:themeColor="text1"/>
          <w:sz w:val="26"/>
          <w:szCs w:val="26"/>
        </w:rPr>
        <w:t xml:space="preserve">- «Рязаньэнерго»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r>
        <w:rPr>
          <w:color w:val="000000" w:themeColor="text1"/>
          <w:sz w:val="26"/>
          <w:szCs w:val="26"/>
        </w:rPr>
        <w:t xml:space="preserve">                                                                 </w:t>
      </w:r>
      <w:r>
        <w:rPr>
          <w:lang w:eastAsia="ru-RU"/>
        </w:rPr>
      </w:r>
      <w:r/>
    </w:p>
    <w:p>
      <w:pPr>
        <w:ind w:right="-2"/>
        <w:jc w:val="right"/>
        <w:spacing w:line="276" w:lineRule="auto"/>
        <w:tabs>
          <w:tab w:val="right" w:pos="10207" w:leader="none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______________________ </w:t>
      </w:r>
      <w:r>
        <w:rPr>
          <w:b/>
          <w:color w:val="000000" w:themeColor="text1"/>
          <w:sz w:val="26"/>
          <w:szCs w:val="26"/>
        </w:rPr>
        <w:t xml:space="preserve">А.А. Корнилов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986"/>
        <w:jc w:val="right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                                                                                                   “___” _________ 2025 г.</w:t>
      </w:r>
      <w:r>
        <w:rPr>
          <w:rFonts w:ascii="Times New Roman" w:hAnsi="Times New Roman"/>
          <w:color w:val="ff0000"/>
          <w:sz w:val="26"/>
          <w:szCs w:val="26"/>
        </w:rPr>
      </w:r>
      <w:r>
        <w:rPr>
          <w:rFonts w:ascii="Times New Roman" w:hAnsi="Times New Roman"/>
          <w:color w:val="ff0000"/>
          <w:sz w:val="26"/>
          <w:szCs w:val="26"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705"/>
        <w:jc w:val="center"/>
        <w:spacing w:line="276" w:lineRule="auto"/>
        <w:rPr>
          <w:b/>
        </w:rPr>
      </w:pPr>
      <w:r>
        <w:rPr>
          <w:b/>
        </w:rPr>
        <w:t xml:space="preserve"> ТЕХНИЧЕСКОЕ ЗАДАНИЕ</w:t>
      </w:r>
      <w:r>
        <w:rPr>
          <w:b/>
        </w:rPr>
      </w:r>
      <w:r>
        <w:rPr>
          <w:b/>
        </w:rPr>
      </w:r>
    </w:p>
    <w:p>
      <w:pPr>
        <w:ind w:left="705"/>
        <w:jc w:val="center"/>
        <w:spacing w:line="276" w:lineRule="auto"/>
        <w:rPr>
          <w:b/>
        </w:rPr>
      </w:pPr>
      <w:r>
        <w:rPr>
          <w:b/>
        </w:rPr>
        <w:t xml:space="preserve">на поставку комплектующих РЗА. </w:t>
      </w:r>
      <w:r>
        <w:rPr>
          <w:b/>
        </w:rPr>
      </w:r>
      <w:r>
        <w:rPr>
          <w:b/>
        </w:rPr>
      </w:r>
    </w:p>
    <w:p>
      <w:pPr>
        <w:ind w:left="705"/>
        <w:jc w:val="center"/>
        <w:spacing w:line="276" w:lineRule="auto"/>
        <w:rPr>
          <w:b/>
        </w:rPr>
      </w:pPr>
      <w:r>
        <w:rPr>
          <w:b/>
        </w:rPr>
        <w:t xml:space="preserve">Лот №309</w:t>
      </w:r>
      <w:r>
        <w:rPr>
          <w:b/>
          <w:lang w:val="en-US"/>
        </w:rPr>
        <w:t xml:space="preserve">B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ind w:left="705"/>
        <w:jc w:val="center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82"/>
        <w:numPr>
          <w:ilvl w:val="0"/>
          <w:numId w:val="41"/>
        </w:numPr>
        <w:ind w:left="993" w:hanging="284"/>
        <w:jc w:val="both"/>
        <w:spacing w:line="276" w:lineRule="auto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Технические требования к продукции.</w:t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ind w:firstLine="709"/>
        <w:jc w:val="both"/>
        <w:spacing w:line="259" w:lineRule="auto"/>
        <w:tabs>
          <w:tab w:val="left" w:pos="1134" w:leader="none"/>
        </w:tabs>
      </w:pPr>
      <w:r>
        <w:t xml:space="preserve">1.1. Технические требования и характеристики продукции должны соответствовать параметрам, приведенным в Приложении №1 к ТЗ.</w:t>
      </w:r>
      <w:r/>
    </w:p>
    <w:p>
      <w:pPr>
        <w:ind w:firstLine="709"/>
        <w:jc w:val="both"/>
        <w:spacing w:line="276" w:lineRule="auto"/>
        <w:rPr>
          <w:sz w:val="20"/>
          <w:szCs w:val="20"/>
        </w:rPr>
      </w:pPr>
      <w:r>
        <w:rPr>
          <w:bCs/>
        </w:rPr>
        <w:t xml:space="preserve">1.2. Поставщик </w:t>
      </w:r>
      <w:r>
        <w:t xml:space="preserve">обеспечивает поставку в объёмах, указанных в Приложении №1 к ТЗ.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82"/>
        <w:numPr>
          <w:ilvl w:val="0"/>
          <w:numId w:val="41"/>
        </w:numPr>
        <w:ind w:left="709" w:firstLine="0"/>
        <w:jc w:val="both"/>
        <w:spacing w:line="276" w:lineRule="auto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Общие требования.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82"/>
        <w:ind w:left="0" w:firstLine="709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 К поставке допускается оборудование, отвечающее следующим требованиям: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ind w:left="0" w:firstLine="709"/>
        <w:jc w:val="both"/>
        <w:spacing w:line="276" w:lineRule="auto"/>
        <w:tabs>
          <w:tab w:val="left" w:pos="709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быть новой, ранее не использованной;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5"/>
        </w:numPr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российских производителей - документы, подтверждающие соответствие техническим требованиям, положительное заключение МВК, ТУ;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5"/>
        </w:numPr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оборудование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5"/>
        </w:numPr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5"/>
        </w:numPr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оборудование, впервые поставляемое за</w:t>
      </w:r>
      <w:r>
        <w:rPr>
          <w:sz w:val="24"/>
          <w:szCs w:val="24"/>
        </w:rPr>
        <w:t xml:space="preserve">водом - изготовителем для нужд ПАО «Россети</w:t>
      </w:r>
      <w:r>
        <w:rPr>
          <w:sz w:val="24"/>
          <w:szCs w:val="24"/>
        </w:rPr>
        <w:t xml:space="preserve"> Центра»,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5"/>
        </w:numPr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оборудование должно пройти обязательную аттес</w:t>
      </w:r>
      <w:r>
        <w:rPr>
          <w:sz w:val="24"/>
          <w:szCs w:val="24"/>
        </w:rPr>
        <w:t xml:space="preserve">тацию в аккредитованном Центре П</w:t>
      </w:r>
      <w:r>
        <w:rPr>
          <w:sz w:val="24"/>
          <w:szCs w:val="24"/>
        </w:rPr>
        <w:t xml:space="preserve">АО "Россети";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5"/>
        </w:numPr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оборудование должно соответствовать тр</w:t>
      </w:r>
      <w:r>
        <w:rPr>
          <w:sz w:val="24"/>
          <w:szCs w:val="24"/>
        </w:rPr>
        <w:t xml:space="preserve">ебованиям технической политики ПАО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"Россети";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5"/>
        </w:numPr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5"/>
        </w:numPr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5"/>
        </w:numPr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для электромагнитных реле замена на аналогичные по параметрам микроэлектронные или микропроцессорные реле возможна толь</w:t>
      </w:r>
      <w:r>
        <w:rPr>
          <w:sz w:val="24"/>
          <w:szCs w:val="24"/>
        </w:rPr>
        <w:t xml:space="preserve">ко при отсутствии на рынке электромагнитных реле в соответствии с требованиями СТО 34.01-4.1-005-2017 «Правила технического обслуживания устройств релейной защиты, автоматики, дистанционного управления и сигнализации на объектах электросетевого комплекса».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ind w:left="0" w:firstLine="709"/>
        <w:jc w:val="both"/>
        <w:spacing w:line="276" w:lineRule="auto"/>
        <w:tabs>
          <w:tab w:val="left" w:pos="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2.2. Продукция должна соответствовать требованиям «Правил устройства электроустановок» (ПУЭ 7-е издание) и требованиям действующих НТД.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276" w:lineRule="auto"/>
        <w:tabs>
          <w:tab w:val="left" w:pos="0" w:leader="none"/>
          <w:tab w:val="left" w:pos="993" w:leader="none"/>
        </w:tabs>
      </w:pPr>
      <w:r>
        <w:t xml:space="preserve">2.3.</w:t>
      </w:r>
      <w:r>
        <w:rPr>
          <w:b/>
        </w:rPr>
        <w:t xml:space="preserve"> </w:t>
      </w:r>
      <w:r>
        <w:t xml:space="preserve">Упаковка, транспортирование, условия и сроки хранения.</w:t>
      </w:r>
      <w:r/>
    </w:p>
    <w:p>
      <w:pPr>
        <w:ind w:firstLine="709"/>
        <w:jc w:val="both"/>
        <w:spacing w:line="276" w:lineRule="auto"/>
        <w:tabs>
          <w:tab w:val="left" w:pos="0" w:leader="none"/>
          <w:tab w:val="left" w:pos="993" w:leader="none"/>
        </w:tabs>
      </w:pPr>
      <w:r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изготовителя, ГОСТ 23216, </w:t>
      </w:r>
      <w:r>
        <w:t xml:space="preserve">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  <w:r/>
    </w:p>
    <w:p>
      <w:pPr>
        <w:ind w:firstLine="709"/>
        <w:jc w:val="both"/>
        <w:spacing w:line="276" w:lineRule="auto"/>
        <w:tabs>
          <w:tab w:val="left" w:pos="0" w:leader="none"/>
          <w:tab w:val="left" w:pos="993" w:leader="none"/>
        </w:tabs>
      </w:pPr>
      <w:r>
        <w:t xml:space="preserve">Номинальные значения климатических факторов внешней среды для оборудования должны соответствовать ГОСТ 15150-69 и ГОСТ 15543.</w:t>
      </w:r>
      <w:r/>
    </w:p>
    <w:p>
      <w:pPr>
        <w:ind w:firstLine="709"/>
        <w:jc w:val="both"/>
        <w:spacing w:line="276" w:lineRule="auto"/>
        <w:tabs>
          <w:tab w:val="left" w:pos="0" w:leader="none"/>
          <w:tab w:val="left" w:pos="993" w:leader="none"/>
        </w:tabs>
      </w:pPr>
      <w:r>
        <w:t xml:space="preserve">Укладка и транспортировка оборудования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  <w:r/>
    </w:p>
    <w:p>
      <w:pPr>
        <w:ind w:firstLine="709"/>
        <w:jc w:val="both"/>
        <w:spacing w:line="276" w:lineRule="auto"/>
        <w:tabs>
          <w:tab w:val="left" w:pos="0" w:leader="none"/>
          <w:tab w:val="left" w:pos="993" w:leader="none"/>
        </w:tabs>
      </w:pPr>
      <w:r>
        <w:t xml:space="preserve">Упаковка должна производиться в соответствии с требованиями нормативно-технической документации на запасные части к выключателям и разъединителям.</w:t>
      </w:r>
      <w:r/>
    </w:p>
    <w:p>
      <w:pPr>
        <w:ind w:firstLine="709"/>
        <w:jc w:val="both"/>
        <w:spacing w:line="276" w:lineRule="auto"/>
        <w:tabs>
          <w:tab w:val="left" w:pos="0" w:leader="none"/>
          <w:tab w:val="left" w:pos="993" w:leader="none"/>
        </w:tabs>
      </w:pPr>
      <w:r>
        <w:t xml:space="preserve">2.4.</w:t>
      </w:r>
      <w:r>
        <w:tab/>
        <w:t xml:space="preserve">Каждая партия продукции должна подвергаться приемо-сдаточным испытаниям в соответствии с требованиями действующих стандартов и норм на данный вид продукции.</w:t>
      </w:r>
      <w:r/>
    </w:p>
    <w:p>
      <w:pPr>
        <w:ind w:firstLine="709"/>
        <w:jc w:val="both"/>
        <w:spacing w:line="276" w:lineRule="auto"/>
        <w:tabs>
          <w:tab w:val="left" w:pos="0" w:leader="none"/>
          <w:tab w:val="left" w:pos="993" w:leader="none"/>
        </w:tabs>
      </w:pPr>
      <w:r>
        <w:t xml:space="preserve">2.5.</w:t>
      </w:r>
      <w:r>
        <w:rPr>
          <w:b/>
        </w:rPr>
        <w:tab/>
      </w:r>
      <w:r>
        <w:t xml:space="preserve">Срок изготовления продукции должен быть не более полугода от момента поставки.</w:t>
      </w:r>
      <w:r/>
    </w:p>
    <w:p>
      <w:pPr>
        <w:pStyle w:val="982"/>
        <w:numPr>
          <w:ilvl w:val="0"/>
          <w:numId w:val="41"/>
        </w:numPr>
        <w:ind w:left="709" w:firstLine="0"/>
        <w:jc w:val="both"/>
        <w:spacing w:line="276" w:lineRule="auto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Гарантийные обязательства.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82"/>
        <w:ind w:left="0" w:firstLine="709"/>
        <w:jc w:val="both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</w:t>
      </w:r>
      <w:r>
        <w:rPr>
          <w:sz w:val="24"/>
          <w:szCs w:val="24"/>
        </w:rPr>
        <w:t xml:space="preserve">антия на поставляемое оборудование должна распространяться не менее, чем на 36 месяцев со дня ввода в эксплуатацию. Время начала исчисления гарантийного срока – с момента ввода в эксплуатацию, но не более 48 месяцев со дня поставки. Поставщик должен за сво</w:t>
      </w:r>
      <w:r>
        <w:rPr>
          <w:sz w:val="24"/>
          <w:szCs w:val="24"/>
        </w:rPr>
        <w:t xml:space="preserve">й счет и в сроки, согласованные с Заказчиком, устранять любые дефекты в поставляемой продукции,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</w:t>
      </w:r>
      <w:r>
        <w:rPr>
          <w:sz w:val="24"/>
          <w:szCs w:val="24"/>
        </w:rPr>
        <w:t xml:space="preserve">ксирующего дефекты, согласования порядка и сроков их устранения или поставки новой продукции, но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1"/>
        </w:numPr>
        <w:ind w:left="709" w:firstLine="0"/>
        <w:jc w:val="both"/>
        <w:spacing w:line="276" w:lineRule="auto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Требования к надежности и живучести.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82"/>
        <w:ind w:left="0" w:firstLine="709"/>
        <w:jc w:val="both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сохранять эксплуатационные характеристики в течении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1"/>
        </w:numPr>
        <w:ind w:left="0" w:firstLine="709"/>
        <w:jc w:val="both"/>
        <w:spacing w:line="276" w:lineRule="auto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Маркировка, состав технической и эксплуатационной документации.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82"/>
        <w:ind w:left="0" w:firstLine="709"/>
        <w:jc w:val="both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Маркировка продукции должна соответствовать требованиям ГОСТ 18620-86, а также Правилам технической эксплуатаци</w:t>
      </w:r>
      <w:r>
        <w:rPr>
          <w:sz w:val="24"/>
          <w:szCs w:val="24"/>
        </w:rPr>
        <w:t xml:space="preserve">и электроустановок потребителей и правилам технической безопасности при эксплуатации электроустановок потребителей. Маркировка продукции, содержание и способ ее нанесения указывается в стандартах, нормах или технических условиях на требуемый тип продукции.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ind w:left="0" w:firstLine="709"/>
        <w:jc w:val="both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должен предоставить полный комплект те</w:t>
      </w:r>
      <w:r>
        <w:rPr>
          <w:sz w:val="24"/>
          <w:szCs w:val="24"/>
        </w:rPr>
        <w:t xml:space="preserve">хнической и эксплуатационной документации на русском языке, подготовленной в соответствии с ГОСТ Р 59853-2021, ГОСТ 34.201-2020, ГОСТ 27300-87, ГОСТ 2.601 по монтажу, сдаче в эксплуатацию и техническому обслуживанию поставляемого оборудования и материалов.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ind w:left="0" w:firstLine="709"/>
        <w:jc w:val="both"/>
        <w:spacing w:line="276" w:lineRule="auto"/>
        <w:tabs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Предоставляемая Поставщиком техническая и эксплуатационная документация на оборудование должна включать: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3"/>
        </w:numPr>
        <w:ind w:left="851" w:firstLine="0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сертификат;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2"/>
        <w:numPr>
          <w:ilvl w:val="0"/>
          <w:numId w:val="43"/>
        </w:numPr>
        <w:ind w:left="851" w:firstLine="0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Паспорт.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tabs>
          <w:tab w:val="left" w:pos="851" w:leader="none"/>
          <w:tab w:val="left" w:pos="1134" w:leader="none"/>
        </w:tabs>
      </w:pPr>
      <w:r/>
      <w:r/>
    </w:p>
    <w:p>
      <w:pPr>
        <w:jc w:val="both"/>
        <w:spacing w:line="276" w:lineRule="auto"/>
        <w:tabs>
          <w:tab w:val="left" w:pos="851" w:leader="none"/>
          <w:tab w:val="left" w:pos="1134" w:leader="none"/>
        </w:tabs>
      </w:pPr>
      <w:r/>
      <w:r/>
    </w:p>
    <w:p>
      <w:pPr>
        <w:pStyle w:val="982"/>
        <w:numPr>
          <w:ilvl w:val="0"/>
          <w:numId w:val="41"/>
        </w:numPr>
        <w:ind w:left="709" w:firstLine="0"/>
        <w:jc w:val="both"/>
        <w:spacing w:line="276" w:lineRule="auto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Правила приемки продукции.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83"/>
        <w:spacing w:line="259" w:lineRule="auto"/>
        <w:tabs>
          <w:tab w:val="left" w:pos="0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Каждая партия поставляемой продукции должна пройти входной контроль, осуществляемый представителями </w:t>
      </w:r>
      <w:r>
        <w:rPr>
          <w:sz w:val="26"/>
          <w:szCs w:val="26"/>
        </w:rPr>
        <w:t xml:space="preserve">филиала </w:t>
      </w:r>
      <w:r>
        <w:rPr>
          <w:color w:val="000000" w:themeColor="text1"/>
          <w:sz w:val="26"/>
          <w:szCs w:val="26"/>
        </w:rPr>
        <w:t xml:space="preserve">ПАО «Россети Центр и Приволжье» - «Рязаньэнерго»</w:t>
      </w:r>
      <w:r>
        <w:rPr>
          <w:szCs w:val="24"/>
        </w:rPr>
        <w:t xml:space="preserve"> и ответственными представителями Поставщика при получении их на склад.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spacing w:line="259" w:lineRule="auto"/>
        <w:tabs>
          <w:tab w:val="left" w:pos="0" w:leader="none"/>
          <w:tab w:val="left" w:pos="1134" w:leader="none"/>
        </w:tabs>
      </w:pPr>
      <w:r>
        <w:t xml:space="preserve">В случае выявления дефектов, в том числе и скрытых, Поставщик обязан за свой счет заменить поставленную продукцию.</w:t>
      </w:r>
      <w:r/>
    </w:p>
    <w:p>
      <w:pPr>
        <w:tabs>
          <w:tab w:val="left" w:pos="897" w:leader="none"/>
        </w:tabs>
      </w:pPr>
      <w:r/>
      <w:r/>
    </w:p>
    <w:p>
      <w:pPr>
        <w:tabs>
          <w:tab w:val="left" w:pos="897" w:leader="none"/>
        </w:tabs>
      </w:pPr>
      <w:r/>
      <w:r/>
    </w:p>
    <w:p>
      <w:pPr>
        <w:tabs>
          <w:tab w:val="left" w:pos="897" w:leader="none"/>
        </w:tabs>
      </w:pPr>
      <w:r/>
      <w:r/>
    </w:p>
    <w:p>
      <w:pPr>
        <w:tabs>
          <w:tab w:val="left" w:pos="897" w:leader="none"/>
        </w:tabs>
      </w:pPr>
      <w:r/>
      <w:r/>
    </w:p>
    <w:p>
      <w:pPr>
        <w:tabs>
          <w:tab w:val="left" w:pos="897" w:leader="none"/>
        </w:tabs>
      </w:pPr>
      <w:r/>
      <w:r/>
    </w:p>
    <w:p>
      <w:pPr>
        <w:tabs>
          <w:tab w:val="left" w:pos="897" w:leader="none"/>
        </w:tabs>
      </w:pPr>
      <w:r/>
      <w:r/>
    </w:p>
    <w:p>
      <w:pPr>
        <w:ind w:firstLine="709"/>
        <w:spacing w:line="259" w:lineRule="auto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r>
        <w:rPr>
          <w:color w:val="000000" w:themeColor="text1"/>
        </w:rPr>
        <w:t xml:space="preserve">Начальник службы релейной защиты, </w:t>
      </w:r>
      <w:r>
        <w:rPr>
          <w:lang w:eastAsia="ru-RU"/>
        </w:rPr>
      </w:r>
      <w:r/>
    </w:p>
    <w:p>
      <w:pPr>
        <w:spacing w:line="259" w:lineRule="auto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spacing w:line="259" w:lineRule="auto"/>
        <w:tabs>
          <w:tab w:val="left" w:pos="709" w:leader="none"/>
        </w:tabs>
        <w:rPr>
          <w:color w:val="000000" w:themeColor="text1"/>
        </w:rPr>
      </w:pPr>
      <w:r>
        <w:rPr>
          <w:color w:val="000000" w:themeColor="text1"/>
        </w:rPr>
        <w:t xml:space="preserve">автоматики, измерений и метрологии                                                                         П. К. Веселов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tabs>
          <w:tab w:val="left" w:pos="897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tabs>
          <w:tab w:val="left" w:pos="897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tabs>
          <w:tab w:val="left" w:pos="897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tabs>
          <w:tab w:val="left" w:pos="897" w:leader="none"/>
        </w:tabs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tabs>
          <w:tab w:val="left" w:pos="897" w:leader="none"/>
        </w:tabs>
        <w:rPr>
          <w:color w:val="ff0000"/>
        </w:rPr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tabs>
          <w:tab w:val="left" w:pos="897" w:leader="none"/>
        </w:tabs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567" w:right="567" w:bottom="567" w:left="1418" w:header="426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Verdana">
    <w:panose1 w:val="020B0604030504040204"/>
  </w:font>
  <w:font w:name="MS Mincho">
    <w:panose1 w:val="0202050305040509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6771235"/>
      <w:docPartObj>
        <w:docPartGallery w:val="Page Numbers (Top of Page)"/>
        <w:docPartUnique w:val="true"/>
      </w:docPartObj>
      <w:rPr/>
    </w:sdtPr>
    <w:sdtContent>
      <w:p>
        <w:pPr>
          <w:pStyle w:val="984"/>
          <w:jc w:val="center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 \* MERGEFORMAT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/>
      </w:p>
    </w:sdtContent>
  </w:sdt>
  <w:p>
    <w:pPr>
      <w:pStyle w:val="984"/>
      <w:rPr>
        <w:szCs w:val="20"/>
      </w:rPr>
    </w:pPr>
    <w:r>
      <w:rPr>
        <w:szCs w:val="20"/>
      </w:rPr>
    </w:r>
    <w:r>
      <w:rPr>
        <w:szCs w:val="20"/>
      </w:rPr>
    </w:r>
    <w:r>
      <w:rPr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620" w:hanging="360"/>
        <w:tabs>
          <w:tab w:val="num" w:pos="16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340" w:hanging="360"/>
        <w:tabs>
          <w:tab w:val="num" w:pos="23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60" w:hanging="360"/>
        <w:tabs>
          <w:tab w:val="num" w:pos="30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80" w:hanging="360"/>
        <w:tabs>
          <w:tab w:val="num" w:pos="37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00" w:hanging="360"/>
        <w:tabs>
          <w:tab w:val="num" w:pos="45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20" w:hanging="360"/>
        <w:tabs>
          <w:tab w:val="num" w:pos="52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40" w:hanging="360"/>
        <w:tabs>
          <w:tab w:val="num" w:pos="59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60" w:hanging="360"/>
        <w:tabs>
          <w:tab w:val="num" w:pos="66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80" w:hanging="360"/>
        <w:tabs>
          <w:tab w:val="num" w:pos="738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4"/>
      <w:numFmt w:val="bullet"/>
      <w:isLgl w:val="false"/>
      <w:suff w:val="tab"/>
      <w:lvlText w:val="-"/>
      <w:lvlJc w:val="left"/>
      <w:pPr>
        <w:ind w:left="1515" w:hanging="795"/>
        <w:tabs>
          <w:tab w:val="num" w:pos="1515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93" w:hanging="360"/>
        <w:tabs>
          <w:tab w:val="num" w:pos="159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13" w:hanging="360"/>
        <w:tabs>
          <w:tab w:val="num" w:pos="231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33" w:hanging="360"/>
        <w:tabs>
          <w:tab w:val="num" w:pos="303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53" w:hanging="360"/>
        <w:tabs>
          <w:tab w:val="num" w:pos="375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73" w:hanging="360"/>
        <w:tabs>
          <w:tab w:val="num" w:pos="447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93" w:hanging="360"/>
        <w:tabs>
          <w:tab w:val="num" w:pos="519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13" w:hanging="360"/>
        <w:tabs>
          <w:tab w:val="num" w:pos="591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33" w:hanging="360"/>
        <w:tabs>
          <w:tab w:val="num" w:pos="6633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6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32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9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6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4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1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8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5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280" w:hanging="180"/>
      </w:pPr>
    </w:lvl>
  </w:abstractNum>
  <w:abstractNum w:abstractNumId="9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740" w:hanging="360"/>
        <w:tabs>
          <w:tab w:val="num" w:pos="174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60" w:hanging="360"/>
        <w:tabs>
          <w:tab w:val="num" w:pos="246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80" w:hanging="360"/>
        <w:tabs>
          <w:tab w:val="num" w:pos="31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00" w:hanging="360"/>
        <w:tabs>
          <w:tab w:val="num" w:pos="39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20" w:hanging="360"/>
        <w:tabs>
          <w:tab w:val="num" w:pos="462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40" w:hanging="360"/>
        <w:tabs>
          <w:tab w:val="num" w:pos="53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60" w:hanging="360"/>
        <w:tabs>
          <w:tab w:val="num" w:pos="60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80" w:hanging="360"/>
        <w:tabs>
          <w:tab w:val="num" w:pos="678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00" w:hanging="360"/>
        <w:tabs>
          <w:tab w:val="num" w:pos="750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4.2.3.%1."/>
      <w:legacy w:legacy="1" w:legacyIndent="985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 w:val="false"/>
      <w:suff w:val="tab"/>
      <w:lvlText w:val="3.2.%3."/>
      <w:lvlJc w:val="left"/>
      <w:pPr>
        <w:ind w:left="7468" w:hanging="123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17" w:hanging="360"/>
        <w:tabs>
          <w:tab w:val="num" w:pos="71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  <w:tabs>
          <w:tab w:val="num" w:pos="14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  <w:tabs>
          <w:tab w:val="num" w:pos="21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  <w:tabs>
          <w:tab w:val="num" w:pos="28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  <w:tabs>
          <w:tab w:val="num" w:pos="35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  <w:tabs>
          <w:tab w:val="num" w:pos="43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  <w:tabs>
          <w:tab w:val="num" w:pos="50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  <w:tabs>
          <w:tab w:val="num" w:pos="57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  <w:tabs>
          <w:tab w:val="num" w:pos="6477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60" w:hanging="360"/>
        <w:tabs>
          <w:tab w:val="num" w:pos="246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80" w:hanging="360"/>
        <w:tabs>
          <w:tab w:val="num" w:pos="31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00" w:hanging="360"/>
        <w:tabs>
          <w:tab w:val="num" w:pos="39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20" w:hanging="360"/>
        <w:tabs>
          <w:tab w:val="num" w:pos="462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40" w:hanging="360"/>
        <w:tabs>
          <w:tab w:val="num" w:pos="53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60" w:hanging="360"/>
        <w:tabs>
          <w:tab w:val="num" w:pos="60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80" w:hanging="360"/>
        <w:tabs>
          <w:tab w:val="num" w:pos="678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00" w:hanging="360"/>
        <w:tabs>
          <w:tab w:val="num" w:pos="7500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  <w:tabs>
          <w:tab w:val="num" w:pos="720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  <w:tabs>
          <w:tab w:val="num" w:pos="1080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  <w:tabs>
          <w:tab w:val="num" w:pos="1440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  <w:tabs>
          <w:tab w:val="num" w:pos="1800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797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pStyle w:val="964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rFonts w:hint="default"/>
      </w:rPr>
    </w:lvl>
    <w:lvl w:ilvl="1">
      <w:start w:val="4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/>
      </w:rPr>
    </w:lvl>
    <w:lvl w:ilvl="2">
      <w:start w:val="1"/>
      <w:numFmt w:val="bullet"/>
      <w:isLgl w:val="false"/>
      <w:suff w:val="tab"/>
      <w:lvlText w:val=""/>
      <w:lvlJc w:val="left"/>
      <w:pPr>
        <w:ind w:left="2685" w:hanging="705"/>
        <w:tabs>
          <w:tab w:val="num" w:pos="2685" w:leader="none"/>
        </w:tabs>
      </w:pPr>
      <w:rPr>
        <w:rFonts w:hint="default" w:ascii="Symbol" w:hAnsi="Symbol" w:eastAsia="MS Mincho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7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3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2">
    <w:multiLevelType w:val="hybridMultilevel"/>
    <w:lvl w:ilvl="0">
      <w:start w:val="1"/>
      <w:numFmt w:val="upperRoman"/>
      <w:pStyle w:val="783"/>
      <w:isLgl w:val="false"/>
      <w:suff w:val="tab"/>
      <w:lvlText w:val="Статья %1."/>
      <w:lvlJc w:val="left"/>
      <w:pPr>
        <w:ind w:left="0" w:firstLine="0"/>
        <w:tabs>
          <w:tab w:val="num" w:pos="1440" w:leader="none"/>
        </w:tabs>
      </w:pPr>
    </w:lvl>
    <w:lvl w:ilvl="1">
      <w:start w:val="1"/>
      <w:numFmt w:val="decimalZero"/>
      <w:pStyle w:val="784"/>
      <w:isLgl/>
      <w:suff w:val="tab"/>
      <w:lvlText w:val="Раздел %1.%2"/>
      <w:lvlJc w:val="left"/>
      <w:pPr>
        <w:ind w:left="0" w:firstLine="0"/>
        <w:tabs>
          <w:tab w:val="num" w:pos="1080" w:leader="none"/>
        </w:tabs>
      </w:pPr>
    </w:lvl>
    <w:lvl w:ilvl="2">
      <w:start w:val="1"/>
      <w:numFmt w:val="lowerLetter"/>
      <w:isLgl w:val="false"/>
      <w:suff w:val="tab"/>
      <w:lvlText w:val="(%3)"/>
      <w:lvlJc w:val="left"/>
      <w:pPr>
        <w:ind w:left="720" w:hanging="432"/>
        <w:tabs>
          <w:tab w:val="num" w:pos="720" w:leader="none"/>
        </w:tabs>
      </w:pPr>
    </w:lvl>
    <w:lvl w:ilvl="3">
      <w:start w:val="1"/>
      <w:numFmt w:val="lowerRoman"/>
      <w:isLgl w:val="false"/>
      <w:suff w:val="tab"/>
      <w:lvlText w:val="(%4)"/>
      <w:lvlJc w:val="right"/>
      <w:pPr>
        <w:ind w:left="864" w:hanging="14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5)"/>
      <w:lvlJc w:val="left"/>
      <w:pPr>
        <w:ind w:left="1008" w:hanging="432"/>
        <w:tabs>
          <w:tab w:val="num" w:pos="1008" w:leader="none"/>
        </w:tabs>
      </w:pPr>
    </w:lvl>
    <w:lvl w:ilvl="5">
      <w:start w:val="1"/>
      <w:numFmt w:val="lowerLetter"/>
      <w:isLgl w:val="false"/>
      <w:suff w:val="tab"/>
      <w:lvlText w:val="%6)"/>
      <w:lvlJc w:val="left"/>
      <w:pPr>
        <w:ind w:left="1152" w:hanging="432"/>
        <w:tabs>
          <w:tab w:val="num" w:pos="1152" w:leader="none"/>
        </w:tabs>
      </w:pPr>
    </w:lvl>
    <w:lvl w:ilvl="6">
      <w:start w:val="1"/>
      <w:numFmt w:val="lowerRoman"/>
      <w:isLgl w:val="false"/>
      <w:suff w:val="tab"/>
      <w:lvlText w:val="%7)"/>
      <w:lvlJc w:val="right"/>
      <w:pPr>
        <w:ind w:left="1296" w:hanging="288"/>
        <w:tabs>
          <w:tab w:val="num" w:pos="129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1440" w:hanging="432"/>
        <w:tabs>
          <w:tab w:val="num" w:pos="14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1584" w:hanging="144"/>
        <w:tabs>
          <w:tab w:val="num" w:pos="1584" w:leader="none"/>
        </w:tabs>
      </w:p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21"/>
      <w:numFmt w:val="decimal"/>
      <w:isLgl w:val="false"/>
      <w:suff w:val="tab"/>
      <w:lvlText w:val="4.2.%1."/>
      <w:legacy w:legacy="1" w:legacyIndent="937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740" w:hanging="360"/>
        <w:tabs>
          <w:tab w:val="num" w:pos="1740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60" w:hanging="360"/>
        <w:tabs>
          <w:tab w:val="num" w:pos="246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80" w:hanging="360"/>
        <w:tabs>
          <w:tab w:val="num" w:pos="31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00" w:hanging="360"/>
        <w:tabs>
          <w:tab w:val="num" w:pos="39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20" w:hanging="360"/>
        <w:tabs>
          <w:tab w:val="num" w:pos="462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40" w:hanging="360"/>
        <w:tabs>
          <w:tab w:val="num" w:pos="53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60" w:hanging="360"/>
        <w:tabs>
          <w:tab w:val="num" w:pos="60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80" w:hanging="360"/>
        <w:tabs>
          <w:tab w:val="num" w:pos="678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00" w:hanging="360"/>
        <w:tabs>
          <w:tab w:val="num" w:pos="7500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hint="default" w:ascii="Symbol" w:hAnsi="Symbol"/>
      </w:rPr>
    </w:lvl>
    <w:lvl w:ilvl="1">
      <w:start w:val="3"/>
      <w:numFmt w:val="bullet"/>
      <w:isLgl w:val="false"/>
      <w:suff w:val="tab"/>
      <w:lvlText w:val="-"/>
      <w:lvlJc w:val="left"/>
      <w:pPr>
        <w:ind w:left="2550" w:hanging="930"/>
        <w:tabs>
          <w:tab w:val="num" w:pos="255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71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 w:cs="Wingdings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819" w:hanging="360"/>
        <w:tabs>
          <w:tab w:val="num" w:pos="819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  <w:tabs>
          <w:tab w:val="num" w:pos="147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  <w:tabs>
          <w:tab w:val="num" w:pos="219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  <w:tabs>
          <w:tab w:val="num" w:pos="291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  <w:tabs>
          <w:tab w:val="num" w:pos="363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  <w:tabs>
          <w:tab w:val="num" w:pos="435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  <w:tabs>
          <w:tab w:val="num" w:pos="507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  <w:tabs>
          <w:tab w:val="num" w:pos="579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  <w:tabs>
          <w:tab w:val="num" w:pos="6513" w:leader="none"/>
        </w:tabs>
      </w:pPr>
      <w:rPr>
        <w:rFonts w:hint="default" w:ascii="Wingdings" w:hAnsi="Wingdings" w:cs="Wingdings"/>
      </w:rPr>
    </w:lvl>
  </w:abstractNum>
  <w:abstractNum w:abstractNumId="4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  <w:tabs>
          <w:tab w:val="num" w:pos="142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  <w:tabs>
          <w:tab w:val="num" w:pos="2136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  <w:tabs>
          <w:tab w:val="num" w:pos="320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  <w:tabs>
          <w:tab w:val="num" w:pos="391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  <w:tabs>
          <w:tab w:val="num" w:pos="49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  <w:tabs>
          <w:tab w:val="num" w:pos="604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  <w:tabs>
          <w:tab w:val="num" w:pos="675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  <w:tabs>
          <w:tab w:val="num" w:pos="782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21"/>
  </w:num>
  <w:num w:numId="2">
    <w:abstractNumId w:val="38"/>
  </w:num>
  <w:num w:numId="3">
    <w:abstractNumId w:val="1"/>
  </w:num>
  <w:num w:numId="4">
    <w:abstractNumId w:val="25"/>
  </w:num>
  <w:num w:numId="5">
    <w:abstractNumId w:val="12"/>
  </w:num>
  <w:num w:numId="6">
    <w:abstractNumId w:val="3"/>
  </w:num>
  <w:num w:numId="7">
    <w:abstractNumId w:val="33"/>
  </w:num>
  <w:num w:numId="8">
    <w:abstractNumId w:val="14"/>
  </w:num>
  <w:num w:numId="9">
    <w:abstractNumId w:val="22"/>
  </w:num>
  <w:num w:numId="10">
    <w:abstractNumId w:val="31"/>
  </w:num>
  <w:num w:numId="11">
    <w:abstractNumId w:val="6"/>
  </w:num>
  <w:num w:numId="12">
    <w:abstractNumId w:val="23"/>
  </w:num>
  <w:num w:numId="13">
    <w:abstractNumId w:val="41"/>
  </w:num>
  <w:num w:numId="14">
    <w:abstractNumId w:val="9"/>
  </w:num>
  <w:num w:numId="15">
    <w:abstractNumId w:val="13"/>
  </w:num>
  <w:num w:numId="16">
    <w:abstractNumId w:val="17"/>
  </w:num>
  <w:num w:numId="17">
    <w:abstractNumId w:val="28"/>
  </w:num>
  <w:num w:numId="18">
    <w:abstractNumId w:val="29"/>
  </w:num>
  <w:num w:numId="19">
    <w:abstractNumId w:val="42"/>
  </w:num>
  <w:num w:numId="20">
    <w:abstractNumId w:val="35"/>
  </w:num>
  <w:num w:numId="21">
    <w:abstractNumId w:val="4"/>
    <w:lvlOverride w:ilvl="0">
      <w:lvl w:ilvl="0">
        <w:start w:val="1"/>
        <w:numFmt w:val="bullet"/>
        <w:isLgl w:val="false"/>
        <w:suff w:val="tab"/>
        <w:lvlText w:val=""/>
        <w:legacy w:legacy="1" w:legacyIndent="360" w:legacySpace="0"/>
        <w:lvlJc w:val="left"/>
        <w:pPr/>
        <w:rPr>
          <w:rFonts w:hint="default" w:ascii="Symbol" w:hAnsi="Symbol"/>
        </w:rPr>
      </w:lvl>
    </w:lvlOverride>
  </w:num>
  <w:num w:numId="22">
    <w:abstractNumId w:val="8"/>
  </w:num>
  <w:num w:numId="23">
    <w:abstractNumId w:val="4"/>
    <w:lvlOverride w:ilvl="0">
      <w:lvl w:ilvl="0">
        <w:start w:val="65535"/>
        <w:numFmt w:val="bullet"/>
        <w:isLgl w:val="false"/>
        <w:suff w:val="tab"/>
        <w:lvlText w:val="-"/>
        <w:legacy w:legacy="1" w:legacyIndent="158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24">
    <w:abstractNumId w:val="4"/>
    <w:lvlOverride w:ilvl="0">
      <w:lvl w:ilvl="0">
        <w:start w:val="65535"/>
        <w:numFmt w:val="bullet"/>
        <w:isLgl w:val="false"/>
        <w:suff w:val="tab"/>
        <w:lvlText w:val="-"/>
        <w:legacy w:legacy="1" w:legacyIndent="365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25">
    <w:abstractNumId w:val="10"/>
  </w:num>
  <w:num w:numId="26">
    <w:abstractNumId w:val="24"/>
  </w:num>
  <w:num w:numId="27">
    <w:abstractNumId w:val="40"/>
  </w:num>
  <w:num w:numId="28">
    <w:abstractNumId w:val="2"/>
  </w:num>
  <w:num w:numId="29">
    <w:abstractNumId w:val="39"/>
  </w:num>
  <w:num w:numId="30">
    <w:abstractNumId w:val="19"/>
  </w:num>
  <w:num w:numId="31">
    <w:abstractNumId w:val="7"/>
  </w:num>
  <w:num w:numId="32">
    <w:abstractNumId w:val="5"/>
  </w:num>
  <w:num w:numId="33">
    <w:abstractNumId w:val="18"/>
  </w:num>
  <w:num w:numId="34">
    <w:abstractNumId w:val="0"/>
  </w:num>
  <w:num w:numId="35">
    <w:abstractNumId w:val="15"/>
  </w:num>
  <w:num w:numId="36">
    <w:abstractNumId w:val="34"/>
  </w:num>
  <w:num w:numId="37">
    <w:abstractNumId w:val="26"/>
  </w:num>
  <w:num w:numId="38">
    <w:abstractNumId w:val="37"/>
  </w:num>
  <w:num w:numId="39">
    <w:abstractNumId w:val="11"/>
  </w:num>
  <w:num w:numId="40">
    <w:abstractNumId w:val="32"/>
  </w:num>
  <w:num w:numId="41">
    <w:abstractNumId w:val="16"/>
  </w:num>
  <w:num w:numId="42">
    <w:abstractNumId w:val="27"/>
  </w:num>
  <w:num w:numId="43">
    <w:abstractNumId w:val="30"/>
  </w:num>
  <w:num w:numId="44">
    <w:abstractNumId w:val="20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8">
    <w:name w:val="Heading 1 Char"/>
    <w:basedOn w:val="792"/>
    <w:link w:val="783"/>
    <w:uiPriority w:val="9"/>
    <w:rPr>
      <w:rFonts w:ascii="Arial" w:hAnsi="Arial" w:eastAsia="Arial" w:cs="Arial"/>
      <w:sz w:val="40"/>
      <w:szCs w:val="40"/>
    </w:rPr>
  </w:style>
  <w:style w:type="character" w:styleId="769">
    <w:name w:val="Heading 2 Char"/>
    <w:basedOn w:val="792"/>
    <w:link w:val="784"/>
    <w:uiPriority w:val="9"/>
    <w:rPr>
      <w:rFonts w:ascii="Arial" w:hAnsi="Arial" w:eastAsia="Arial" w:cs="Arial"/>
      <w:sz w:val="34"/>
    </w:rPr>
  </w:style>
  <w:style w:type="character" w:styleId="770">
    <w:name w:val="Heading 4 Char"/>
    <w:basedOn w:val="792"/>
    <w:link w:val="786"/>
    <w:uiPriority w:val="9"/>
    <w:rPr>
      <w:rFonts w:ascii="Arial" w:hAnsi="Arial" w:eastAsia="Arial" w:cs="Arial"/>
      <w:b/>
      <w:bCs/>
      <w:sz w:val="26"/>
      <w:szCs w:val="26"/>
    </w:rPr>
  </w:style>
  <w:style w:type="character" w:styleId="771">
    <w:name w:val="Heading 5 Char"/>
    <w:basedOn w:val="792"/>
    <w:link w:val="787"/>
    <w:uiPriority w:val="9"/>
    <w:rPr>
      <w:rFonts w:ascii="Arial" w:hAnsi="Arial" w:eastAsia="Arial" w:cs="Arial"/>
      <w:b/>
      <w:bCs/>
      <w:sz w:val="24"/>
      <w:szCs w:val="24"/>
    </w:rPr>
  </w:style>
  <w:style w:type="character" w:styleId="772">
    <w:name w:val="Heading 6 Char"/>
    <w:basedOn w:val="792"/>
    <w:link w:val="788"/>
    <w:uiPriority w:val="9"/>
    <w:rPr>
      <w:rFonts w:ascii="Arial" w:hAnsi="Arial" w:eastAsia="Arial" w:cs="Arial"/>
      <w:b/>
      <w:bCs/>
      <w:sz w:val="22"/>
      <w:szCs w:val="22"/>
    </w:rPr>
  </w:style>
  <w:style w:type="character" w:styleId="773">
    <w:name w:val="Heading 7 Char"/>
    <w:basedOn w:val="792"/>
    <w:link w:val="7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>
    <w:name w:val="Heading 8 Char"/>
    <w:basedOn w:val="792"/>
    <w:link w:val="790"/>
    <w:uiPriority w:val="9"/>
    <w:rPr>
      <w:rFonts w:ascii="Arial" w:hAnsi="Arial" w:eastAsia="Arial" w:cs="Arial"/>
      <w:i/>
      <w:iCs/>
      <w:sz w:val="22"/>
      <w:szCs w:val="22"/>
    </w:rPr>
  </w:style>
  <w:style w:type="character" w:styleId="775">
    <w:name w:val="Heading 9 Char"/>
    <w:basedOn w:val="792"/>
    <w:link w:val="791"/>
    <w:uiPriority w:val="9"/>
    <w:rPr>
      <w:rFonts w:ascii="Arial" w:hAnsi="Arial" w:eastAsia="Arial" w:cs="Arial"/>
      <w:i/>
      <w:iCs/>
      <w:sz w:val="21"/>
      <w:szCs w:val="21"/>
    </w:rPr>
  </w:style>
  <w:style w:type="character" w:styleId="776">
    <w:name w:val="Title Char"/>
    <w:basedOn w:val="792"/>
    <w:link w:val="805"/>
    <w:uiPriority w:val="10"/>
    <w:rPr>
      <w:sz w:val="48"/>
      <w:szCs w:val="48"/>
    </w:rPr>
  </w:style>
  <w:style w:type="character" w:styleId="777">
    <w:name w:val="Subtitle Char"/>
    <w:basedOn w:val="792"/>
    <w:link w:val="807"/>
    <w:uiPriority w:val="11"/>
    <w:rPr>
      <w:sz w:val="24"/>
      <w:szCs w:val="24"/>
    </w:rPr>
  </w:style>
  <w:style w:type="character" w:styleId="778">
    <w:name w:val="Quote Char"/>
    <w:link w:val="809"/>
    <w:uiPriority w:val="29"/>
    <w:rPr>
      <w:i/>
    </w:rPr>
  </w:style>
  <w:style w:type="character" w:styleId="779">
    <w:name w:val="Intense Quote Char"/>
    <w:link w:val="811"/>
    <w:uiPriority w:val="30"/>
    <w:rPr>
      <w:i/>
    </w:rPr>
  </w:style>
  <w:style w:type="character" w:styleId="780">
    <w:name w:val="Footnote Text Char"/>
    <w:link w:val="943"/>
    <w:uiPriority w:val="99"/>
    <w:rPr>
      <w:sz w:val="18"/>
    </w:rPr>
  </w:style>
  <w:style w:type="character" w:styleId="781">
    <w:name w:val="Endnote Text Char"/>
    <w:link w:val="946"/>
    <w:uiPriority w:val="99"/>
    <w:rPr>
      <w:sz w:val="20"/>
    </w:rPr>
  </w:style>
  <w:style w:type="paragraph" w:styleId="782" w:default="1">
    <w:name w:val="Normal"/>
    <w:qFormat/>
    <w:rPr>
      <w:sz w:val="24"/>
      <w:szCs w:val="24"/>
    </w:rPr>
  </w:style>
  <w:style w:type="paragraph" w:styleId="783">
    <w:name w:val="Heading 1"/>
    <w:basedOn w:val="782"/>
    <w:next w:val="782"/>
    <w:link w:val="795"/>
    <w:qFormat/>
    <w:pPr>
      <w:numPr>
        <w:ilvl w:val="0"/>
        <w:numId w:val="9"/>
      </w:numPr>
      <w:keepNext/>
      <w:outlineLvl w:val="0"/>
    </w:pPr>
    <w:rPr>
      <w:b/>
      <w:bCs/>
      <w:szCs w:val="28"/>
    </w:rPr>
  </w:style>
  <w:style w:type="paragraph" w:styleId="784">
    <w:name w:val="Heading 2"/>
    <w:basedOn w:val="782"/>
    <w:next w:val="782"/>
    <w:link w:val="796"/>
    <w:qFormat/>
    <w:pPr>
      <w:numPr>
        <w:ilvl w:val="1"/>
        <w:numId w:val="9"/>
      </w:numPr>
      <w:jc w:val="center"/>
      <w:keepNext/>
      <w:shd w:val="clear" w:color="auto" w:fill="ffffff"/>
      <w:outlineLvl w:val="1"/>
    </w:pPr>
    <w:rPr>
      <w:b/>
      <w:bCs/>
      <w:color w:val="404040"/>
      <w:sz w:val="20"/>
      <w:szCs w:val="20"/>
    </w:rPr>
  </w:style>
  <w:style w:type="paragraph" w:styleId="785">
    <w:name w:val="Heading 3"/>
    <w:basedOn w:val="782"/>
    <w:next w:val="782"/>
    <w:link w:val="970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86">
    <w:name w:val="Heading 4"/>
    <w:basedOn w:val="782"/>
    <w:next w:val="782"/>
    <w:link w:val="7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7">
    <w:name w:val="Heading 5"/>
    <w:basedOn w:val="782"/>
    <w:next w:val="782"/>
    <w:link w:val="7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88">
    <w:name w:val="Heading 6"/>
    <w:basedOn w:val="782"/>
    <w:next w:val="782"/>
    <w:link w:val="8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9">
    <w:name w:val="Heading 7"/>
    <w:basedOn w:val="782"/>
    <w:next w:val="782"/>
    <w:link w:val="8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0">
    <w:name w:val="Heading 8"/>
    <w:basedOn w:val="782"/>
    <w:next w:val="782"/>
    <w:link w:val="8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1">
    <w:name w:val="Heading 9"/>
    <w:basedOn w:val="782"/>
    <w:next w:val="782"/>
    <w:link w:val="8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2" w:default="1">
    <w:name w:val="Default Paragraph Font"/>
    <w:uiPriority w:val="1"/>
    <w:semiHidden/>
    <w:unhideWhenUsed/>
  </w:style>
  <w:style w:type="table" w:styleId="7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4" w:default="1">
    <w:name w:val="No List"/>
    <w:uiPriority w:val="99"/>
    <w:semiHidden/>
    <w:unhideWhenUsed/>
  </w:style>
  <w:style w:type="character" w:styleId="795" w:customStyle="1">
    <w:name w:val="Заголовок 1 Знак"/>
    <w:basedOn w:val="792"/>
    <w:link w:val="783"/>
    <w:uiPriority w:val="9"/>
    <w:rPr>
      <w:rFonts w:ascii="Arial" w:hAnsi="Arial" w:eastAsia="Arial" w:cs="Arial"/>
      <w:sz w:val="40"/>
      <w:szCs w:val="40"/>
    </w:rPr>
  </w:style>
  <w:style w:type="character" w:styleId="796" w:customStyle="1">
    <w:name w:val="Заголовок 2 Знак"/>
    <w:basedOn w:val="792"/>
    <w:link w:val="784"/>
    <w:uiPriority w:val="9"/>
    <w:rPr>
      <w:rFonts w:ascii="Arial" w:hAnsi="Arial" w:eastAsia="Arial" w:cs="Arial"/>
      <w:sz w:val="34"/>
    </w:rPr>
  </w:style>
  <w:style w:type="character" w:styleId="797" w:customStyle="1">
    <w:name w:val="Heading 3 Char"/>
    <w:basedOn w:val="792"/>
    <w:uiPriority w:val="9"/>
    <w:rPr>
      <w:rFonts w:ascii="Arial" w:hAnsi="Arial" w:eastAsia="Arial" w:cs="Arial"/>
      <w:sz w:val="30"/>
      <w:szCs w:val="30"/>
    </w:rPr>
  </w:style>
  <w:style w:type="character" w:styleId="798" w:customStyle="1">
    <w:name w:val="Заголовок 4 Знак"/>
    <w:basedOn w:val="792"/>
    <w:link w:val="786"/>
    <w:uiPriority w:val="9"/>
    <w:rPr>
      <w:rFonts w:ascii="Arial" w:hAnsi="Arial" w:eastAsia="Arial" w:cs="Arial"/>
      <w:b/>
      <w:bCs/>
      <w:sz w:val="26"/>
      <w:szCs w:val="26"/>
    </w:rPr>
  </w:style>
  <w:style w:type="character" w:styleId="799" w:customStyle="1">
    <w:name w:val="Заголовок 5 Знак"/>
    <w:basedOn w:val="792"/>
    <w:link w:val="787"/>
    <w:uiPriority w:val="9"/>
    <w:rPr>
      <w:rFonts w:ascii="Arial" w:hAnsi="Arial" w:eastAsia="Arial" w:cs="Arial"/>
      <w:b/>
      <w:bCs/>
      <w:sz w:val="24"/>
      <w:szCs w:val="24"/>
    </w:rPr>
  </w:style>
  <w:style w:type="character" w:styleId="800" w:customStyle="1">
    <w:name w:val="Заголовок 6 Знак"/>
    <w:basedOn w:val="792"/>
    <w:link w:val="788"/>
    <w:uiPriority w:val="9"/>
    <w:rPr>
      <w:rFonts w:ascii="Arial" w:hAnsi="Arial" w:eastAsia="Arial" w:cs="Arial"/>
      <w:b/>
      <w:bCs/>
      <w:sz w:val="22"/>
      <w:szCs w:val="22"/>
    </w:rPr>
  </w:style>
  <w:style w:type="character" w:styleId="801" w:customStyle="1">
    <w:name w:val="Заголовок 7 Знак"/>
    <w:basedOn w:val="792"/>
    <w:link w:val="7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2" w:customStyle="1">
    <w:name w:val="Заголовок 8 Знак"/>
    <w:basedOn w:val="792"/>
    <w:link w:val="790"/>
    <w:uiPriority w:val="9"/>
    <w:rPr>
      <w:rFonts w:ascii="Arial" w:hAnsi="Arial" w:eastAsia="Arial" w:cs="Arial"/>
      <w:i/>
      <w:iCs/>
      <w:sz w:val="22"/>
      <w:szCs w:val="22"/>
    </w:rPr>
  </w:style>
  <w:style w:type="character" w:styleId="803" w:customStyle="1">
    <w:name w:val="Заголовок 9 Знак"/>
    <w:basedOn w:val="792"/>
    <w:link w:val="791"/>
    <w:uiPriority w:val="9"/>
    <w:rPr>
      <w:rFonts w:ascii="Arial" w:hAnsi="Arial" w:eastAsia="Arial" w:cs="Arial"/>
      <w:i/>
      <w:iCs/>
      <w:sz w:val="21"/>
      <w:szCs w:val="21"/>
    </w:rPr>
  </w:style>
  <w:style w:type="paragraph" w:styleId="804">
    <w:name w:val="No Spacing"/>
    <w:uiPriority w:val="1"/>
    <w:qFormat/>
  </w:style>
  <w:style w:type="paragraph" w:styleId="805">
    <w:name w:val="Title"/>
    <w:basedOn w:val="782"/>
    <w:next w:val="782"/>
    <w:link w:val="8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6" w:customStyle="1">
    <w:name w:val="Заголовок Знак"/>
    <w:basedOn w:val="792"/>
    <w:link w:val="805"/>
    <w:uiPriority w:val="10"/>
    <w:rPr>
      <w:sz w:val="48"/>
      <w:szCs w:val="48"/>
    </w:rPr>
  </w:style>
  <w:style w:type="paragraph" w:styleId="807">
    <w:name w:val="Subtitle"/>
    <w:basedOn w:val="782"/>
    <w:next w:val="782"/>
    <w:link w:val="808"/>
    <w:uiPriority w:val="11"/>
    <w:qFormat/>
    <w:pPr>
      <w:spacing w:before="200" w:after="200"/>
    </w:pPr>
  </w:style>
  <w:style w:type="character" w:styleId="808" w:customStyle="1">
    <w:name w:val="Подзаголовок Знак"/>
    <w:basedOn w:val="792"/>
    <w:link w:val="807"/>
    <w:uiPriority w:val="11"/>
    <w:rPr>
      <w:sz w:val="24"/>
      <w:szCs w:val="24"/>
    </w:rPr>
  </w:style>
  <w:style w:type="paragraph" w:styleId="809">
    <w:name w:val="Quote"/>
    <w:basedOn w:val="782"/>
    <w:next w:val="782"/>
    <w:link w:val="810"/>
    <w:uiPriority w:val="29"/>
    <w:qFormat/>
    <w:pPr>
      <w:ind w:left="720" w:right="720"/>
    </w:pPr>
    <w:rPr>
      <w:i/>
    </w:rPr>
  </w:style>
  <w:style w:type="character" w:styleId="810" w:customStyle="1">
    <w:name w:val="Цитата 2 Знак"/>
    <w:link w:val="809"/>
    <w:uiPriority w:val="29"/>
    <w:rPr>
      <w:i/>
    </w:rPr>
  </w:style>
  <w:style w:type="paragraph" w:styleId="811">
    <w:name w:val="Intense Quote"/>
    <w:basedOn w:val="782"/>
    <w:next w:val="782"/>
    <w:link w:val="81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2" w:customStyle="1">
    <w:name w:val="Выделенная цитата Знак"/>
    <w:link w:val="811"/>
    <w:uiPriority w:val="30"/>
    <w:rPr>
      <w:i/>
    </w:rPr>
  </w:style>
  <w:style w:type="character" w:styleId="813" w:customStyle="1">
    <w:name w:val="Header Char"/>
    <w:basedOn w:val="792"/>
    <w:uiPriority w:val="99"/>
  </w:style>
  <w:style w:type="character" w:styleId="814" w:customStyle="1">
    <w:name w:val="Footer Char"/>
    <w:basedOn w:val="792"/>
    <w:uiPriority w:val="99"/>
  </w:style>
  <w:style w:type="paragraph" w:styleId="815">
    <w:name w:val="Caption"/>
    <w:basedOn w:val="782"/>
    <w:next w:val="7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6" w:customStyle="1">
    <w:name w:val="Caption Char"/>
    <w:uiPriority w:val="99"/>
  </w:style>
  <w:style w:type="table" w:styleId="817" w:customStyle="1">
    <w:name w:val="Table Grid Light"/>
    <w:basedOn w:val="79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8">
    <w:name w:val="Plain Table 1"/>
    <w:basedOn w:val="79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9">
    <w:name w:val="Plain Table 2"/>
    <w:basedOn w:val="79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>
    <w:name w:val="Plain Table 3"/>
    <w:basedOn w:val="79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1">
    <w:name w:val="Plain Table 4"/>
    <w:basedOn w:val="79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Plain Table 5"/>
    <w:basedOn w:val="79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3">
    <w:name w:val="Grid Table 1 Light"/>
    <w:basedOn w:val="79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1"/>
    <w:basedOn w:val="79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2"/>
    <w:basedOn w:val="79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3"/>
    <w:basedOn w:val="79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4"/>
    <w:basedOn w:val="79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5"/>
    <w:basedOn w:val="79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6"/>
    <w:basedOn w:val="79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2"/>
    <w:basedOn w:val="79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1"/>
    <w:basedOn w:val="79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2"/>
    <w:basedOn w:val="79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3"/>
    <w:basedOn w:val="79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4"/>
    <w:basedOn w:val="79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5"/>
    <w:basedOn w:val="79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6"/>
    <w:basedOn w:val="79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"/>
    <w:basedOn w:val="79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1"/>
    <w:basedOn w:val="79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2"/>
    <w:basedOn w:val="79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3"/>
    <w:basedOn w:val="79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4"/>
    <w:basedOn w:val="79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5"/>
    <w:basedOn w:val="79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6"/>
    <w:basedOn w:val="79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4"/>
    <w:basedOn w:val="79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5" w:customStyle="1">
    <w:name w:val="Grid Table 4 - Accent 1"/>
    <w:basedOn w:val="79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6" w:customStyle="1">
    <w:name w:val="Grid Table 4 - Accent 2"/>
    <w:basedOn w:val="79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7" w:customStyle="1">
    <w:name w:val="Grid Table 4 - Accent 3"/>
    <w:basedOn w:val="79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8" w:customStyle="1">
    <w:name w:val="Grid Table 4 - Accent 4"/>
    <w:basedOn w:val="79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9" w:customStyle="1">
    <w:name w:val="Grid Table 4 - Accent 5"/>
    <w:basedOn w:val="79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0" w:customStyle="1">
    <w:name w:val="Grid Table 4 - Accent 6"/>
    <w:basedOn w:val="79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1">
    <w:name w:val="Grid Table 5 Dark"/>
    <w:basedOn w:val="7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- Accent 1"/>
    <w:basedOn w:val="7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2"/>
    <w:basedOn w:val="7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3"/>
    <w:basedOn w:val="7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4"/>
    <w:basedOn w:val="7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5"/>
    <w:basedOn w:val="7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6"/>
    <w:basedOn w:val="79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8">
    <w:name w:val="Grid Table 6 Colorful"/>
    <w:basedOn w:val="79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9" w:customStyle="1">
    <w:name w:val="Grid Table 6 Colorful - Accent 1"/>
    <w:basedOn w:val="79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0" w:customStyle="1">
    <w:name w:val="Grid Table 6 Colorful - Accent 2"/>
    <w:basedOn w:val="79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1" w:customStyle="1">
    <w:name w:val="Grid Table 6 Colorful - Accent 3"/>
    <w:basedOn w:val="79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2" w:customStyle="1">
    <w:name w:val="Grid Table 6 Colorful - Accent 4"/>
    <w:basedOn w:val="79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3" w:customStyle="1">
    <w:name w:val="Grid Table 6 Colorful - Accent 5"/>
    <w:basedOn w:val="79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4" w:customStyle="1">
    <w:name w:val="Grid Table 6 Colorful - Accent 6"/>
    <w:basedOn w:val="79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5">
    <w:name w:val="Grid Table 7 Colorful"/>
    <w:basedOn w:val="79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Grid Table 7 Colorful - Accent 1"/>
    <w:basedOn w:val="79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2"/>
    <w:basedOn w:val="79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3"/>
    <w:basedOn w:val="79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4"/>
    <w:basedOn w:val="79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5"/>
    <w:basedOn w:val="79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6"/>
    <w:basedOn w:val="79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>
    <w:name w:val="List Table 1 Light"/>
    <w:basedOn w:val="79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1"/>
    <w:basedOn w:val="79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2"/>
    <w:basedOn w:val="79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3"/>
    <w:basedOn w:val="79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4"/>
    <w:basedOn w:val="79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5"/>
    <w:basedOn w:val="79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6"/>
    <w:basedOn w:val="79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2"/>
    <w:basedOn w:val="79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1"/>
    <w:basedOn w:val="79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2"/>
    <w:basedOn w:val="79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3"/>
    <w:basedOn w:val="79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4"/>
    <w:basedOn w:val="79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5"/>
    <w:basedOn w:val="79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6"/>
    <w:basedOn w:val="79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6">
    <w:name w:val="List Table 3"/>
    <w:basedOn w:val="79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1"/>
    <w:basedOn w:val="79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2"/>
    <w:basedOn w:val="79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3"/>
    <w:basedOn w:val="79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4"/>
    <w:basedOn w:val="79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5"/>
    <w:basedOn w:val="79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6"/>
    <w:basedOn w:val="79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"/>
    <w:basedOn w:val="79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1"/>
    <w:basedOn w:val="79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2"/>
    <w:basedOn w:val="79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3"/>
    <w:basedOn w:val="79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4"/>
    <w:basedOn w:val="79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5"/>
    <w:basedOn w:val="79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6"/>
    <w:basedOn w:val="79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5 Dark"/>
    <w:basedOn w:val="79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1"/>
    <w:basedOn w:val="79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2"/>
    <w:basedOn w:val="79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3"/>
    <w:basedOn w:val="79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4"/>
    <w:basedOn w:val="79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5"/>
    <w:basedOn w:val="79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6"/>
    <w:basedOn w:val="79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>
    <w:name w:val="List Table 6 Colorful"/>
    <w:basedOn w:val="79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8" w:customStyle="1">
    <w:name w:val="List Table 6 Colorful - Accent 1"/>
    <w:basedOn w:val="79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9" w:customStyle="1">
    <w:name w:val="List Table 6 Colorful - Accent 2"/>
    <w:basedOn w:val="79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0" w:customStyle="1">
    <w:name w:val="List Table 6 Colorful - Accent 3"/>
    <w:basedOn w:val="79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1" w:customStyle="1">
    <w:name w:val="List Table 6 Colorful - Accent 4"/>
    <w:basedOn w:val="79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2" w:customStyle="1">
    <w:name w:val="List Table 6 Colorful - Accent 5"/>
    <w:basedOn w:val="79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3" w:customStyle="1">
    <w:name w:val="List Table 6 Colorful - Accent 6"/>
    <w:basedOn w:val="79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4">
    <w:name w:val="List Table 7 Colorful"/>
    <w:basedOn w:val="79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List Table 7 Colorful - Accent 1"/>
    <w:basedOn w:val="79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2"/>
    <w:basedOn w:val="79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3"/>
    <w:basedOn w:val="79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4"/>
    <w:basedOn w:val="79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5"/>
    <w:basedOn w:val="79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6"/>
    <w:basedOn w:val="79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ned - Accent"/>
    <w:basedOn w:val="79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2" w:customStyle="1">
    <w:name w:val="Lined - Accent 1"/>
    <w:basedOn w:val="79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3" w:customStyle="1">
    <w:name w:val="Lined - Accent 2"/>
    <w:basedOn w:val="79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4" w:customStyle="1">
    <w:name w:val="Lined - Accent 3"/>
    <w:basedOn w:val="79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5" w:customStyle="1">
    <w:name w:val="Lined - Accent 4"/>
    <w:basedOn w:val="79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6" w:customStyle="1">
    <w:name w:val="Lined - Accent 5"/>
    <w:basedOn w:val="79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7" w:customStyle="1">
    <w:name w:val="Lined - Accent 6"/>
    <w:basedOn w:val="79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8" w:customStyle="1">
    <w:name w:val="Bordered &amp; Lined - Accent"/>
    <w:basedOn w:val="79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9" w:customStyle="1">
    <w:name w:val="Bordered &amp; Lined - Accent 1"/>
    <w:basedOn w:val="793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0" w:customStyle="1">
    <w:name w:val="Bordered &amp; Lined - Accent 2"/>
    <w:basedOn w:val="793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1" w:customStyle="1">
    <w:name w:val="Bordered &amp; Lined - Accent 3"/>
    <w:basedOn w:val="793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2" w:customStyle="1">
    <w:name w:val="Bordered &amp; Lined - Accent 4"/>
    <w:basedOn w:val="793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3" w:customStyle="1">
    <w:name w:val="Bordered &amp; Lined - Accent 5"/>
    <w:basedOn w:val="793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4" w:customStyle="1">
    <w:name w:val="Bordered &amp; Lined - Accent 6"/>
    <w:basedOn w:val="793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5" w:customStyle="1">
    <w:name w:val="Bordered"/>
    <w:basedOn w:val="79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6" w:customStyle="1">
    <w:name w:val="Bordered - Accent 1"/>
    <w:basedOn w:val="79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7" w:customStyle="1">
    <w:name w:val="Bordered - Accent 2"/>
    <w:basedOn w:val="79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8" w:customStyle="1">
    <w:name w:val="Bordered - Accent 3"/>
    <w:basedOn w:val="79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9" w:customStyle="1">
    <w:name w:val="Bordered - Accent 4"/>
    <w:basedOn w:val="79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0" w:customStyle="1">
    <w:name w:val="Bordered - Accent 5"/>
    <w:basedOn w:val="79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1" w:customStyle="1">
    <w:name w:val="Bordered - Accent 6"/>
    <w:basedOn w:val="79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2">
    <w:name w:val="Hyperlink"/>
    <w:uiPriority w:val="99"/>
    <w:unhideWhenUsed/>
    <w:rPr>
      <w:color w:val="0000ff" w:themeColor="hyperlink"/>
      <w:u w:val="single"/>
    </w:rPr>
  </w:style>
  <w:style w:type="paragraph" w:styleId="943">
    <w:name w:val="footnote text"/>
    <w:basedOn w:val="782"/>
    <w:link w:val="944"/>
    <w:uiPriority w:val="99"/>
    <w:semiHidden/>
    <w:unhideWhenUsed/>
    <w:pPr>
      <w:spacing w:after="40"/>
    </w:pPr>
    <w:rPr>
      <w:sz w:val="18"/>
    </w:rPr>
  </w:style>
  <w:style w:type="character" w:styleId="944" w:customStyle="1">
    <w:name w:val="Текст сноски Знак"/>
    <w:link w:val="943"/>
    <w:uiPriority w:val="99"/>
    <w:rPr>
      <w:sz w:val="18"/>
    </w:rPr>
  </w:style>
  <w:style w:type="character" w:styleId="945">
    <w:name w:val="footnote reference"/>
    <w:basedOn w:val="792"/>
    <w:uiPriority w:val="99"/>
    <w:unhideWhenUsed/>
    <w:rPr>
      <w:vertAlign w:val="superscript"/>
    </w:rPr>
  </w:style>
  <w:style w:type="paragraph" w:styleId="946">
    <w:name w:val="endnote text"/>
    <w:basedOn w:val="782"/>
    <w:link w:val="947"/>
    <w:uiPriority w:val="99"/>
    <w:semiHidden/>
    <w:unhideWhenUsed/>
    <w:rPr>
      <w:sz w:val="20"/>
    </w:rPr>
  </w:style>
  <w:style w:type="character" w:styleId="947" w:customStyle="1">
    <w:name w:val="Текст концевой сноски Знак"/>
    <w:link w:val="946"/>
    <w:uiPriority w:val="99"/>
    <w:rPr>
      <w:sz w:val="20"/>
    </w:rPr>
  </w:style>
  <w:style w:type="character" w:styleId="948">
    <w:name w:val="endnote reference"/>
    <w:basedOn w:val="792"/>
    <w:uiPriority w:val="99"/>
    <w:semiHidden/>
    <w:unhideWhenUsed/>
    <w:rPr>
      <w:vertAlign w:val="superscript"/>
    </w:rPr>
  </w:style>
  <w:style w:type="paragraph" w:styleId="949">
    <w:name w:val="toc 1"/>
    <w:basedOn w:val="782"/>
    <w:next w:val="782"/>
    <w:uiPriority w:val="39"/>
    <w:unhideWhenUsed/>
    <w:pPr>
      <w:spacing w:after="57"/>
    </w:pPr>
  </w:style>
  <w:style w:type="paragraph" w:styleId="950">
    <w:name w:val="toc 2"/>
    <w:basedOn w:val="782"/>
    <w:next w:val="782"/>
    <w:uiPriority w:val="39"/>
    <w:unhideWhenUsed/>
    <w:pPr>
      <w:ind w:left="283"/>
      <w:spacing w:after="57"/>
    </w:pPr>
  </w:style>
  <w:style w:type="paragraph" w:styleId="951">
    <w:name w:val="toc 3"/>
    <w:basedOn w:val="782"/>
    <w:next w:val="782"/>
    <w:uiPriority w:val="39"/>
    <w:unhideWhenUsed/>
    <w:pPr>
      <w:ind w:left="567"/>
      <w:spacing w:after="57"/>
    </w:pPr>
  </w:style>
  <w:style w:type="paragraph" w:styleId="952">
    <w:name w:val="toc 4"/>
    <w:basedOn w:val="782"/>
    <w:next w:val="782"/>
    <w:uiPriority w:val="39"/>
    <w:unhideWhenUsed/>
    <w:pPr>
      <w:ind w:left="850"/>
      <w:spacing w:after="57"/>
    </w:pPr>
  </w:style>
  <w:style w:type="paragraph" w:styleId="953">
    <w:name w:val="toc 5"/>
    <w:basedOn w:val="782"/>
    <w:next w:val="782"/>
    <w:uiPriority w:val="39"/>
    <w:unhideWhenUsed/>
    <w:pPr>
      <w:ind w:left="1134"/>
      <w:spacing w:after="57"/>
    </w:pPr>
  </w:style>
  <w:style w:type="paragraph" w:styleId="954">
    <w:name w:val="toc 6"/>
    <w:basedOn w:val="782"/>
    <w:next w:val="782"/>
    <w:uiPriority w:val="39"/>
    <w:unhideWhenUsed/>
    <w:pPr>
      <w:ind w:left="1417"/>
      <w:spacing w:after="57"/>
    </w:pPr>
  </w:style>
  <w:style w:type="paragraph" w:styleId="955">
    <w:name w:val="toc 7"/>
    <w:basedOn w:val="782"/>
    <w:next w:val="782"/>
    <w:uiPriority w:val="39"/>
    <w:unhideWhenUsed/>
    <w:pPr>
      <w:ind w:left="1701"/>
      <w:spacing w:after="57"/>
    </w:pPr>
  </w:style>
  <w:style w:type="paragraph" w:styleId="956">
    <w:name w:val="toc 8"/>
    <w:basedOn w:val="782"/>
    <w:next w:val="782"/>
    <w:uiPriority w:val="39"/>
    <w:unhideWhenUsed/>
    <w:pPr>
      <w:ind w:left="1984"/>
      <w:spacing w:after="57"/>
    </w:pPr>
  </w:style>
  <w:style w:type="paragraph" w:styleId="957">
    <w:name w:val="toc 9"/>
    <w:basedOn w:val="782"/>
    <w:next w:val="782"/>
    <w:uiPriority w:val="39"/>
    <w:unhideWhenUsed/>
    <w:pPr>
      <w:ind w:left="2268"/>
      <w:spacing w:after="57"/>
    </w:pPr>
  </w:style>
  <w:style w:type="paragraph" w:styleId="958">
    <w:name w:val="TOC Heading"/>
    <w:uiPriority w:val="39"/>
    <w:unhideWhenUsed/>
  </w:style>
  <w:style w:type="paragraph" w:styleId="959">
    <w:name w:val="table of figures"/>
    <w:basedOn w:val="782"/>
    <w:next w:val="782"/>
    <w:uiPriority w:val="99"/>
    <w:unhideWhenUsed/>
  </w:style>
  <w:style w:type="paragraph" w:styleId="960">
    <w:name w:val="Body Text Indent 2"/>
    <w:basedOn w:val="782"/>
    <w:pPr>
      <w:ind w:left="720"/>
      <w:spacing w:line="360" w:lineRule="auto"/>
    </w:pPr>
    <w:rPr>
      <w:szCs w:val="28"/>
    </w:rPr>
  </w:style>
  <w:style w:type="table" w:styleId="961">
    <w:name w:val="Table Grid"/>
    <w:basedOn w:val="79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2">
    <w:name w:val="Body Text"/>
    <w:basedOn w:val="782"/>
    <w:link w:val="968"/>
    <w:pPr>
      <w:spacing w:after="120"/>
    </w:pPr>
  </w:style>
  <w:style w:type="paragraph" w:styleId="963">
    <w:name w:val="Balloon Text"/>
    <w:basedOn w:val="782"/>
    <w:semiHidden/>
    <w:rPr>
      <w:rFonts w:ascii="Tahoma" w:hAnsi="Tahoma" w:cs="Tahoma"/>
      <w:sz w:val="16"/>
      <w:szCs w:val="16"/>
    </w:rPr>
  </w:style>
  <w:style w:type="paragraph" w:styleId="964">
    <w:name w:val="List Number"/>
    <w:basedOn w:val="782"/>
    <w:pPr>
      <w:numPr>
        <w:ilvl w:val="0"/>
        <w:numId w:val="16"/>
      </w:numPr>
      <w:jc w:val="both"/>
      <w:spacing w:before="60" w:line="360" w:lineRule="auto"/>
    </w:pPr>
    <w:rPr>
      <w:sz w:val="28"/>
    </w:rPr>
  </w:style>
  <w:style w:type="paragraph" w:styleId="965" w:customStyle="1">
    <w:name w:val="Знак Знак Знак Знак Знак Знак"/>
    <w:basedOn w:val="782"/>
    <w:next w:val="783"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966">
    <w:name w:val="Body Text Indent 3"/>
    <w:basedOn w:val="782"/>
    <w:link w:val="967"/>
    <w:pPr>
      <w:ind w:left="283"/>
      <w:spacing w:after="120"/>
    </w:pPr>
    <w:rPr>
      <w:sz w:val="16"/>
      <w:szCs w:val="16"/>
    </w:rPr>
  </w:style>
  <w:style w:type="character" w:styleId="967" w:customStyle="1">
    <w:name w:val="Основной текст с отступом 3 Знак"/>
    <w:basedOn w:val="792"/>
    <w:link w:val="966"/>
    <w:rPr>
      <w:sz w:val="16"/>
      <w:szCs w:val="16"/>
    </w:rPr>
  </w:style>
  <w:style w:type="character" w:styleId="968" w:customStyle="1">
    <w:name w:val="Основной текст Знак"/>
    <w:basedOn w:val="792"/>
    <w:link w:val="962"/>
    <w:rPr>
      <w:sz w:val="24"/>
      <w:szCs w:val="24"/>
    </w:rPr>
  </w:style>
  <w:style w:type="paragraph" w:styleId="969" w:customStyle="1">
    <w:name w:val="Основной текст 21"/>
    <w:basedOn w:val="782"/>
    <w:pPr>
      <w:ind w:left="113" w:right="232"/>
      <w:jc w:val="both"/>
      <w:spacing w:after="120" w:line="240" w:lineRule="exact"/>
    </w:pPr>
    <w:rPr>
      <w:rFonts w:ascii="Calibri" w:hAnsi="Calibri" w:eastAsia="Calibri"/>
      <w:sz w:val="22"/>
      <w:szCs w:val="22"/>
      <w:lang w:eastAsia="en-US"/>
    </w:rPr>
  </w:style>
  <w:style w:type="character" w:styleId="970" w:customStyle="1">
    <w:name w:val="Заголовок 3 Знак"/>
    <w:basedOn w:val="792"/>
    <w:link w:val="785"/>
    <w:rPr>
      <w:rFonts w:ascii="Cambria" w:hAnsi="Cambria" w:eastAsia="Times New Roman" w:cs="Times New Roman"/>
      <w:b/>
      <w:bCs/>
      <w:sz w:val="26"/>
      <w:szCs w:val="26"/>
    </w:rPr>
  </w:style>
  <w:style w:type="paragraph" w:styleId="971">
    <w:name w:val="Body Text 3"/>
    <w:basedOn w:val="782"/>
    <w:link w:val="972"/>
    <w:pPr>
      <w:spacing w:after="120"/>
    </w:pPr>
    <w:rPr>
      <w:sz w:val="16"/>
      <w:szCs w:val="16"/>
    </w:rPr>
  </w:style>
  <w:style w:type="character" w:styleId="972" w:customStyle="1">
    <w:name w:val="Основной текст 3 Знак"/>
    <w:basedOn w:val="792"/>
    <w:link w:val="971"/>
    <w:rPr>
      <w:sz w:val="16"/>
      <w:szCs w:val="16"/>
    </w:rPr>
  </w:style>
  <w:style w:type="paragraph" w:styleId="973">
    <w:name w:val="Body Text 2"/>
    <w:basedOn w:val="782"/>
    <w:link w:val="974"/>
    <w:pPr>
      <w:spacing w:after="120" w:line="480" w:lineRule="auto"/>
    </w:pPr>
  </w:style>
  <w:style w:type="character" w:styleId="974" w:customStyle="1">
    <w:name w:val="Основной текст 2 Знак"/>
    <w:basedOn w:val="792"/>
    <w:link w:val="973"/>
    <w:rPr>
      <w:sz w:val="24"/>
      <w:szCs w:val="24"/>
    </w:rPr>
  </w:style>
  <w:style w:type="paragraph" w:styleId="975">
    <w:name w:val="Footer"/>
    <w:basedOn w:val="782"/>
    <w:link w:val="976"/>
    <w:pPr>
      <w:tabs>
        <w:tab w:val="center" w:pos="4677" w:leader="none"/>
        <w:tab w:val="right" w:pos="9355" w:leader="none"/>
      </w:tabs>
    </w:pPr>
  </w:style>
  <w:style w:type="character" w:styleId="976" w:customStyle="1">
    <w:name w:val="Нижний колонтитул Знак"/>
    <w:basedOn w:val="792"/>
    <w:link w:val="975"/>
    <w:rPr>
      <w:sz w:val="24"/>
      <w:szCs w:val="24"/>
    </w:rPr>
  </w:style>
  <w:style w:type="paragraph" w:styleId="977">
    <w:name w:val="Body Text Indent"/>
    <w:basedOn w:val="782"/>
    <w:link w:val="978"/>
    <w:pPr>
      <w:ind w:left="283"/>
      <w:spacing w:after="120"/>
    </w:pPr>
  </w:style>
  <w:style w:type="character" w:styleId="978" w:customStyle="1">
    <w:name w:val="Основной текст с отступом Знак"/>
    <w:basedOn w:val="792"/>
    <w:link w:val="977"/>
    <w:rPr>
      <w:sz w:val="24"/>
      <w:szCs w:val="24"/>
    </w:rPr>
  </w:style>
  <w:style w:type="character" w:styleId="979">
    <w:name w:val="annotation reference"/>
    <w:basedOn w:val="792"/>
    <w:uiPriority w:val="99"/>
    <w:rPr>
      <w:sz w:val="16"/>
      <w:szCs w:val="16"/>
    </w:rPr>
  </w:style>
  <w:style w:type="paragraph" w:styleId="980">
    <w:name w:val="annotation text"/>
    <w:basedOn w:val="782"/>
    <w:link w:val="981"/>
    <w:uiPriority w:val="99"/>
    <w:rPr>
      <w:sz w:val="20"/>
      <w:szCs w:val="20"/>
    </w:rPr>
  </w:style>
  <w:style w:type="character" w:styleId="981" w:customStyle="1">
    <w:name w:val="Текст примечания Знак"/>
    <w:basedOn w:val="792"/>
    <w:link w:val="980"/>
    <w:uiPriority w:val="99"/>
  </w:style>
  <w:style w:type="paragraph" w:styleId="982">
    <w:name w:val="List Paragraph"/>
    <w:basedOn w:val="782"/>
    <w:uiPriority w:val="34"/>
    <w:qFormat/>
    <w:pPr>
      <w:contextualSpacing/>
      <w:ind w:left="720"/>
    </w:pPr>
    <w:rPr>
      <w:sz w:val="20"/>
      <w:szCs w:val="20"/>
    </w:rPr>
  </w:style>
  <w:style w:type="paragraph" w:styleId="983" w:customStyle="1">
    <w:name w:val="Body Text 21"/>
    <w:basedOn w:val="782"/>
    <w:pPr>
      <w:ind w:firstLine="709"/>
      <w:jc w:val="both"/>
    </w:pPr>
    <w:rPr>
      <w:szCs w:val="20"/>
    </w:rPr>
  </w:style>
  <w:style w:type="paragraph" w:styleId="984">
    <w:name w:val="Header"/>
    <w:basedOn w:val="782"/>
    <w:link w:val="985"/>
    <w:uiPriority w:val="99"/>
    <w:pPr>
      <w:tabs>
        <w:tab w:val="center" w:pos="4677" w:leader="none"/>
        <w:tab w:val="right" w:pos="9355" w:leader="none"/>
      </w:tabs>
    </w:pPr>
  </w:style>
  <w:style w:type="character" w:styleId="985" w:customStyle="1">
    <w:name w:val="Верхний колонтитул Знак"/>
    <w:basedOn w:val="792"/>
    <w:link w:val="984"/>
    <w:uiPriority w:val="99"/>
    <w:rPr>
      <w:sz w:val="24"/>
      <w:szCs w:val="24"/>
    </w:rPr>
  </w:style>
  <w:style w:type="paragraph" w:styleId="986">
    <w:name w:val="Plain Text"/>
    <w:basedOn w:val="782"/>
    <w:link w:val="987"/>
    <w:rPr>
      <w:rFonts w:ascii="Courier New" w:hAnsi="Courier New"/>
      <w:sz w:val="20"/>
      <w:szCs w:val="20"/>
    </w:rPr>
  </w:style>
  <w:style w:type="character" w:styleId="987" w:customStyle="1">
    <w:name w:val="Текст Знак"/>
    <w:basedOn w:val="792"/>
    <w:link w:val="986"/>
    <w:rPr>
      <w:rFonts w:ascii="Courier New" w:hAnsi="Courier New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DD7F7-9224-438A-BDE5-D5FA5CE13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mrsk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revision>30</cp:revision>
  <dcterms:created xsi:type="dcterms:W3CDTF">2014-02-14T08:54:00Z</dcterms:created>
  <dcterms:modified xsi:type="dcterms:W3CDTF">2026-07-14T06:57:20Z</dcterms:modified>
</cp:coreProperties>
</file>